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D7C8E" w14:textId="77777777" w:rsidR="000E67D3" w:rsidRDefault="00723AC2"/>
    <w:p w14:paraId="06A2BABC" w14:textId="77777777" w:rsidR="009A4814" w:rsidRDefault="009A4814"/>
    <w:p w14:paraId="269008FF" w14:textId="77777777" w:rsidR="009A4814" w:rsidRDefault="009A4814" w:rsidP="009A4814">
      <w:pPr>
        <w:jc w:val="both"/>
        <w:rPr>
          <w:rFonts w:cs="Arial"/>
          <w:caps/>
          <w:szCs w:val="18"/>
          <w:shd w:val="clear" w:color="auto" w:fill="FFFFFF"/>
        </w:rPr>
      </w:pPr>
      <w:r>
        <w:rPr>
          <w:rFonts w:cs="Arial"/>
          <w:caps/>
          <w:szCs w:val="18"/>
          <w:shd w:val="clear" w:color="auto" w:fill="FFFFFF"/>
        </w:rPr>
        <w:t>UNICEF éves jelentés 2014</w:t>
      </w:r>
    </w:p>
    <w:p w14:paraId="48A626B3" w14:textId="77777777" w:rsidR="009A4814" w:rsidRDefault="009A4814" w:rsidP="009A4814">
      <w:pPr>
        <w:jc w:val="both"/>
        <w:rPr>
          <w:rFonts w:cs="Arial"/>
          <w:caps/>
          <w:szCs w:val="18"/>
          <w:shd w:val="clear" w:color="auto" w:fill="FFFFFF"/>
        </w:rPr>
      </w:pPr>
    </w:p>
    <w:p w14:paraId="7EB5DB07" w14:textId="685142F6" w:rsidR="009A4814" w:rsidRDefault="009A4814" w:rsidP="009A4814">
      <w:pPr>
        <w:jc w:val="both"/>
        <w:rPr>
          <w:rFonts w:cs="Arial"/>
          <w:caps/>
          <w:szCs w:val="18"/>
          <w:shd w:val="clear" w:color="auto" w:fill="FFFFFF"/>
        </w:rPr>
      </w:pPr>
      <w:r w:rsidRPr="00305DCE">
        <w:rPr>
          <w:rFonts w:cs="Arial"/>
          <w:caps/>
          <w:szCs w:val="18"/>
          <w:shd w:val="clear" w:color="auto" w:fill="FFFFFF"/>
        </w:rPr>
        <w:t xml:space="preserve">Az anyagi források megbízható </w:t>
      </w:r>
      <w:r>
        <w:rPr>
          <w:rFonts w:cs="Arial"/>
          <w:caps/>
          <w:szCs w:val="18"/>
          <w:shd w:val="clear" w:color="auto" w:fill="FFFFFF"/>
        </w:rPr>
        <w:t>felhasználása</w:t>
      </w:r>
    </w:p>
    <w:p w14:paraId="29276B6F" w14:textId="77777777" w:rsidR="009A4814" w:rsidRPr="00305DCE" w:rsidRDefault="009A4814" w:rsidP="009A4814">
      <w:pPr>
        <w:jc w:val="both"/>
        <w:rPr>
          <w:rFonts w:cs="Arial"/>
          <w:caps/>
          <w:szCs w:val="18"/>
          <w:shd w:val="clear" w:color="auto" w:fill="FFFFFF"/>
        </w:rPr>
      </w:pPr>
    </w:p>
    <w:p w14:paraId="7725D391" w14:textId="77777777" w:rsidR="009A4814" w:rsidRDefault="009A4814" w:rsidP="009A4814">
      <w:pPr>
        <w:jc w:val="both"/>
        <w:rPr>
          <w:rFonts w:cs="Arial"/>
          <w:szCs w:val="18"/>
          <w:shd w:val="clear" w:color="auto" w:fill="FFFFFF"/>
        </w:rPr>
      </w:pPr>
      <w:r w:rsidRPr="00317960">
        <w:rPr>
          <w:rFonts w:cs="Arial"/>
          <w:b/>
          <w:szCs w:val="18"/>
          <w:shd w:val="clear" w:color="auto" w:fill="FFFFFF"/>
        </w:rPr>
        <w:t>Az UNICEF bevétele teljes mértékben az állami és magánszektor önkéntes hozzájárulásaiból származik.</w:t>
      </w:r>
      <w:r w:rsidRPr="00305DCE">
        <w:rPr>
          <w:rFonts w:cs="Arial"/>
          <w:szCs w:val="18"/>
          <w:shd w:val="clear" w:color="auto" w:fill="FFFFFF"/>
        </w:rPr>
        <w:t xml:space="preserve"> A bevételünk rendszeres adományokból és egyéb egyszeri adományokból áll, mely egyes programokhoz kötődik. </w:t>
      </w:r>
      <w:r w:rsidRPr="00317960">
        <w:rPr>
          <w:rFonts w:cs="Arial"/>
          <w:b/>
          <w:szCs w:val="18"/>
          <w:shd w:val="clear" w:color="auto" w:fill="FFFFFF"/>
        </w:rPr>
        <w:t>2014-ben az UNICEF által gyűjtött összeg elérte az 5 milliárdot</w:t>
      </w:r>
      <w:r w:rsidRPr="00305DCE">
        <w:rPr>
          <w:rFonts w:cs="Arial"/>
          <w:szCs w:val="18"/>
          <w:shd w:val="clear" w:color="auto" w:fill="FFFFFF"/>
        </w:rPr>
        <w:t xml:space="preserve">, mely a gyerekek hatalmas és </w:t>
      </w:r>
      <w:r>
        <w:rPr>
          <w:rFonts w:cs="Arial"/>
          <w:szCs w:val="18"/>
          <w:shd w:val="clear" w:color="auto" w:fill="FFFFFF"/>
        </w:rPr>
        <w:t>eltérő szükségleteit</w:t>
      </w:r>
      <w:r w:rsidRPr="00305DCE">
        <w:rPr>
          <w:rFonts w:cs="Arial"/>
          <w:szCs w:val="18"/>
          <w:shd w:val="clear" w:color="auto" w:fill="FFFFFF"/>
        </w:rPr>
        <w:t xml:space="preserve"> tükrözi szerte a világon. </w:t>
      </w:r>
      <w:r w:rsidRPr="00317960">
        <w:rPr>
          <w:rFonts w:cs="Arial"/>
          <w:b/>
          <w:szCs w:val="18"/>
          <w:shd w:val="clear" w:color="auto" w:fill="FFFFFF"/>
        </w:rPr>
        <w:t xml:space="preserve">Az éves jelentés hangsúlyozza azt a bizalmat, melyet a 135 kormány, kormányközi szervezet és szervezetközi együttműködés fektetett az UNICEF-be, s felsorolja a magánszektor legfőbb hozzájárulóit is </w:t>
      </w:r>
      <w:r w:rsidRPr="00305DCE">
        <w:rPr>
          <w:rFonts w:cs="Arial"/>
          <w:szCs w:val="18"/>
          <w:shd w:val="clear" w:color="auto" w:fill="FFFFFF"/>
        </w:rPr>
        <w:t xml:space="preserve">– mint például a Globális Partnerprogramok, Nemzeti Bizottságok, egyéni adományozók és alapítványok.  </w:t>
      </w:r>
      <w:r w:rsidRPr="00317960">
        <w:rPr>
          <w:rFonts w:cs="Arial"/>
          <w:b/>
          <w:szCs w:val="18"/>
          <w:shd w:val="clear" w:color="auto" w:fill="FFFFFF"/>
        </w:rPr>
        <w:t>Az állami szektortól összesen 3.689 milliárd dollár érkezett 2014-ben</w:t>
      </w:r>
      <w:r w:rsidRPr="00305DCE">
        <w:rPr>
          <w:rFonts w:cs="Arial"/>
          <w:szCs w:val="18"/>
          <w:shd w:val="clear" w:color="auto" w:fill="FFFFFF"/>
        </w:rPr>
        <w:t xml:space="preserve">, 352 milliárddal több, mint 2013-ban. A </w:t>
      </w:r>
      <w:r w:rsidRPr="00317960">
        <w:rPr>
          <w:rFonts w:cs="Arial"/>
          <w:b/>
          <w:szCs w:val="18"/>
          <w:shd w:val="clear" w:color="auto" w:fill="FFFFFF"/>
        </w:rPr>
        <w:t>magánszektor hozzájárulóitól pedig 1.397 milliárd dollár 2014-ben</w:t>
      </w:r>
      <w:r w:rsidRPr="00305DCE">
        <w:rPr>
          <w:rFonts w:cs="Arial"/>
          <w:szCs w:val="18"/>
          <w:shd w:val="clear" w:color="auto" w:fill="FFFFFF"/>
        </w:rPr>
        <w:t xml:space="preserve">, ami 40 milliárddal kevesebb, mint 2013-ban. </w:t>
      </w:r>
    </w:p>
    <w:p w14:paraId="060CB90A" w14:textId="77777777" w:rsidR="009A4814" w:rsidRDefault="009A4814" w:rsidP="009A4814">
      <w:pPr>
        <w:jc w:val="both"/>
        <w:rPr>
          <w:rFonts w:cs="Arial"/>
          <w:szCs w:val="18"/>
          <w:shd w:val="clear" w:color="auto" w:fill="FFFFFF"/>
        </w:rPr>
      </w:pPr>
    </w:p>
    <w:p w14:paraId="21A084D2" w14:textId="013269AD" w:rsidR="009A4814" w:rsidRDefault="009A4814" w:rsidP="009A4814">
      <w:pPr>
        <w:jc w:val="both"/>
        <w:rPr>
          <w:rFonts w:cs="Arial"/>
          <w:szCs w:val="18"/>
          <w:shd w:val="clear" w:color="auto" w:fill="FFFFFF"/>
        </w:rPr>
      </w:pPr>
      <w:r w:rsidRPr="00305DCE">
        <w:rPr>
          <w:rFonts w:cs="Arial"/>
          <w:szCs w:val="18"/>
          <w:shd w:val="clear" w:color="auto" w:fill="FFFFFF"/>
        </w:rPr>
        <w:t>Összességében a 2014-es összjövedelem átlagosan 6.5%-kal magasabb a 2013-asnál, mely a katasztrófa-elhárításra befolyó összegek emelkedésével magya</w:t>
      </w:r>
      <w:r>
        <w:rPr>
          <w:rFonts w:cs="Arial"/>
          <w:szCs w:val="18"/>
          <w:shd w:val="clear" w:color="auto" w:fill="FFFFFF"/>
        </w:rPr>
        <w:t>rázható. A rendszeres adományok (</w:t>
      </w:r>
      <w:r w:rsidRPr="00D278CD">
        <w:rPr>
          <w:rFonts w:cs="Arial"/>
          <w:i/>
          <w:szCs w:val="18"/>
          <w:shd w:val="clear" w:color="auto" w:fill="FFFFFF"/>
        </w:rPr>
        <w:t>regular resources)</w:t>
      </w:r>
      <w:r>
        <w:rPr>
          <w:rFonts w:cs="Arial"/>
          <w:szCs w:val="18"/>
          <w:shd w:val="clear" w:color="auto" w:fill="FFFFFF"/>
        </w:rPr>
        <w:t xml:space="preserve"> </w:t>
      </w:r>
      <w:r w:rsidRPr="00305DCE">
        <w:rPr>
          <w:rFonts w:cs="Arial"/>
          <w:szCs w:val="18"/>
          <w:shd w:val="clear" w:color="auto" w:fill="FFFFFF"/>
        </w:rPr>
        <w:t xml:space="preserve">összege elérte az 1.326 milliárd dollárt, míg az egyéb forrásoké </w:t>
      </w:r>
      <w:r>
        <w:rPr>
          <w:rFonts w:cs="Arial"/>
          <w:szCs w:val="18"/>
          <w:shd w:val="clear" w:color="auto" w:fill="FFFFFF"/>
        </w:rPr>
        <w:t>(</w:t>
      </w:r>
      <w:r w:rsidRPr="00D278CD">
        <w:rPr>
          <w:rFonts w:cs="Arial"/>
          <w:i/>
          <w:szCs w:val="18"/>
          <w:shd w:val="clear" w:color="auto" w:fill="FFFFFF"/>
        </w:rPr>
        <w:t>other resources</w:t>
      </w:r>
      <w:r>
        <w:rPr>
          <w:rFonts w:cs="Arial"/>
          <w:szCs w:val="18"/>
          <w:shd w:val="clear" w:color="auto" w:fill="FFFFFF"/>
        </w:rPr>
        <w:t xml:space="preserve">) a </w:t>
      </w:r>
      <w:r w:rsidRPr="00305DCE">
        <w:rPr>
          <w:rFonts w:cs="Arial"/>
          <w:szCs w:val="18"/>
          <w:shd w:val="clear" w:color="auto" w:fill="FFFFFF"/>
        </w:rPr>
        <w:t>3.843 milliárd dollár</w:t>
      </w:r>
      <w:r>
        <w:rPr>
          <w:rFonts w:cs="Arial"/>
          <w:szCs w:val="18"/>
          <w:shd w:val="clear" w:color="auto" w:fill="FFFFFF"/>
        </w:rPr>
        <w:t>t</w:t>
      </w:r>
      <w:r w:rsidRPr="00305DCE">
        <w:rPr>
          <w:rFonts w:cs="Arial"/>
          <w:szCs w:val="18"/>
          <w:shd w:val="clear" w:color="auto" w:fill="FFFFFF"/>
        </w:rPr>
        <w:t>. A rendszeres adományok az UNICEF 2014-es jövedelmének 26%-át teszik ki, és összességében 61 milliárd dolláros - 5%-os - növekedést mutatnak 2013-hoz képest. A rendszeres adományok aránya jelentősen csökkent az ezredfor</w:t>
      </w:r>
      <w:bookmarkStart w:id="0" w:name="_GoBack"/>
      <w:bookmarkEnd w:id="0"/>
      <w:r w:rsidRPr="00305DCE">
        <w:rPr>
          <w:rFonts w:cs="Arial"/>
          <w:szCs w:val="18"/>
          <w:shd w:val="clear" w:color="auto" w:fill="FFFFFF"/>
        </w:rPr>
        <w:t xml:space="preserve">duló óta, </w:t>
      </w:r>
      <w:r>
        <w:rPr>
          <w:rFonts w:cs="Arial"/>
          <w:szCs w:val="18"/>
          <w:shd w:val="clear" w:color="auto" w:fill="FFFFFF"/>
        </w:rPr>
        <w:t>a</w:t>
      </w:r>
      <w:r w:rsidRPr="00305DCE">
        <w:rPr>
          <w:rFonts w:cs="Arial"/>
          <w:szCs w:val="18"/>
          <w:shd w:val="clear" w:color="auto" w:fill="FFFFFF"/>
        </w:rPr>
        <w:t>mikor az UNICEF összjövedelmének közel felét tették ki.</w:t>
      </w:r>
    </w:p>
    <w:p w14:paraId="1082B5B5" w14:textId="77777777" w:rsidR="009A4814" w:rsidRPr="00305DCE" w:rsidRDefault="009A4814" w:rsidP="009A4814">
      <w:pPr>
        <w:jc w:val="both"/>
        <w:rPr>
          <w:rFonts w:cs="Arial"/>
          <w:szCs w:val="18"/>
          <w:shd w:val="clear" w:color="auto" w:fill="FFFFFF"/>
        </w:rPr>
      </w:pPr>
    </w:p>
    <w:p w14:paraId="261427B6" w14:textId="77777777" w:rsidR="009A4814" w:rsidRDefault="009A4814" w:rsidP="009A4814">
      <w:pPr>
        <w:jc w:val="both"/>
        <w:rPr>
          <w:rFonts w:cs="Arial"/>
          <w:szCs w:val="18"/>
          <w:shd w:val="clear" w:color="auto" w:fill="FFFFFF"/>
        </w:rPr>
      </w:pPr>
      <w:r w:rsidRPr="00305DCE">
        <w:rPr>
          <w:rFonts w:cs="Arial"/>
          <w:szCs w:val="18"/>
          <w:shd w:val="clear" w:color="auto" w:fill="FFFFFF"/>
        </w:rPr>
        <w:t xml:space="preserve">A </w:t>
      </w:r>
      <w:r w:rsidRPr="00441BA7">
        <w:rPr>
          <w:rFonts w:cs="Arial"/>
          <w:szCs w:val="18"/>
          <w:shd w:val="clear" w:color="auto" w:fill="FFFFFF"/>
        </w:rPr>
        <w:t xml:space="preserve">rendelkezésre álló </w:t>
      </w:r>
      <w:r w:rsidRPr="00305DCE">
        <w:rPr>
          <w:rFonts w:cs="Arial"/>
          <w:szCs w:val="18"/>
          <w:shd w:val="clear" w:color="auto" w:fill="FFFFFF"/>
        </w:rPr>
        <w:t>források</w:t>
      </w:r>
      <w:r>
        <w:rPr>
          <w:rFonts w:cs="Arial"/>
          <w:szCs w:val="18"/>
          <w:shd w:val="clear" w:color="auto" w:fill="FFFFFF"/>
        </w:rPr>
        <w:t xml:space="preserve"> (</w:t>
      </w:r>
      <w:r w:rsidRPr="00F11EEA">
        <w:rPr>
          <w:rFonts w:cs="Arial"/>
          <w:i/>
          <w:szCs w:val="18"/>
          <w:shd w:val="clear" w:color="auto" w:fill="FFFFFF"/>
        </w:rPr>
        <w:t>other resources</w:t>
      </w:r>
      <w:r>
        <w:rPr>
          <w:rFonts w:cs="Arial"/>
          <w:szCs w:val="18"/>
          <w:shd w:val="clear" w:color="auto" w:fill="FFFFFF"/>
        </w:rPr>
        <w:t>)</w:t>
      </w:r>
      <w:r w:rsidRPr="00305DCE">
        <w:rPr>
          <w:rFonts w:cs="Arial"/>
          <w:szCs w:val="18"/>
          <w:shd w:val="clear" w:color="auto" w:fill="FFFFFF"/>
        </w:rPr>
        <w:t xml:space="preserve"> közül a</w:t>
      </w:r>
      <w:r>
        <w:rPr>
          <w:rFonts w:cs="Arial"/>
          <w:szCs w:val="18"/>
          <w:shd w:val="clear" w:color="auto" w:fill="FFFFFF"/>
        </w:rPr>
        <w:t xml:space="preserve"> </w:t>
      </w:r>
      <w:r w:rsidRPr="00F51070">
        <w:rPr>
          <w:rFonts w:cs="Arial"/>
          <w:b/>
          <w:szCs w:val="18"/>
          <w:shd w:val="clear" w:color="auto" w:fill="FFFFFF"/>
        </w:rPr>
        <w:t>tematikus célú adományok</w:t>
      </w:r>
      <w:r w:rsidRPr="00305DCE">
        <w:rPr>
          <w:rFonts w:cs="Arial"/>
          <w:szCs w:val="18"/>
          <w:shd w:val="clear" w:color="auto" w:fill="FFFFFF"/>
        </w:rPr>
        <w:t xml:space="preserve"> </w:t>
      </w:r>
      <w:r>
        <w:rPr>
          <w:rFonts w:cs="Arial"/>
          <w:szCs w:val="18"/>
          <w:shd w:val="clear" w:color="auto" w:fill="FFFFFF"/>
        </w:rPr>
        <w:t>(</w:t>
      </w:r>
      <w:r>
        <w:rPr>
          <w:rFonts w:cs="Arial"/>
          <w:i/>
          <w:szCs w:val="18"/>
          <w:shd w:val="clear" w:color="auto" w:fill="FFFFFF"/>
        </w:rPr>
        <w:t>thematic funding</w:t>
      </w:r>
      <w:r>
        <w:rPr>
          <w:rFonts w:cs="Arial"/>
          <w:szCs w:val="18"/>
          <w:shd w:val="clear" w:color="auto" w:fill="FFFFFF"/>
        </w:rPr>
        <w:t xml:space="preserve">) </w:t>
      </w:r>
      <w:r w:rsidRPr="00305DCE">
        <w:rPr>
          <w:rFonts w:cs="Arial"/>
          <w:szCs w:val="18"/>
          <w:shd w:val="clear" w:color="auto" w:fill="FFFFFF"/>
        </w:rPr>
        <w:t>számítanak a legrugalmasabbnak: a hosszú t</w:t>
      </w:r>
      <w:r>
        <w:rPr>
          <w:rFonts w:cs="Arial"/>
          <w:szCs w:val="18"/>
          <w:shd w:val="clear" w:color="auto" w:fill="FFFFFF"/>
        </w:rPr>
        <w:t xml:space="preserve">ávú tervezés, fenntarthatóság, </w:t>
      </w:r>
      <w:r w:rsidRPr="00305DCE">
        <w:rPr>
          <w:rFonts w:cs="Arial"/>
          <w:szCs w:val="18"/>
          <w:shd w:val="clear" w:color="auto" w:fill="FFFFFF"/>
        </w:rPr>
        <w:t>az UNICEF és partnerei tranzakciós költségeinek megtakarítása által a stratégiai programok eredmény</w:t>
      </w:r>
      <w:r>
        <w:rPr>
          <w:rFonts w:cs="Arial"/>
          <w:szCs w:val="18"/>
          <w:shd w:val="clear" w:color="auto" w:fill="FFFFFF"/>
        </w:rPr>
        <w:t>esség</w:t>
      </w:r>
      <w:r w:rsidRPr="00305DCE">
        <w:rPr>
          <w:rFonts w:cs="Arial"/>
          <w:szCs w:val="18"/>
          <w:shd w:val="clear" w:color="auto" w:fill="FFFFFF"/>
        </w:rPr>
        <w:t xml:space="preserve">ét támogatják. 2014-ben a hét stratégiai terv megvalósításához illetve a humanitárius segítségnyújtáshoz összesen körülbelül 340 milliárd dollár </w:t>
      </w:r>
      <w:r>
        <w:rPr>
          <w:rFonts w:cs="Arial"/>
          <w:szCs w:val="18"/>
          <w:shd w:val="clear" w:color="auto" w:fill="FFFFFF"/>
        </w:rPr>
        <w:t xml:space="preserve">tematikus célú </w:t>
      </w:r>
      <w:r w:rsidRPr="00305DCE">
        <w:rPr>
          <w:rFonts w:cs="Arial"/>
          <w:szCs w:val="18"/>
          <w:shd w:val="clear" w:color="auto" w:fill="FFFFFF"/>
        </w:rPr>
        <w:t xml:space="preserve">adomány folyt be. </w:t>
      </w:r>
      <w:r>
        <w:rPr>
          <w:rFonts w:cs="Arial"/>
          <w:szCs w:val="18"/>
          <w:shd w:val="clear" w:color="auto" w:fill="FFFFFF"/>
        </w:rPr>
        <w:t xml:space="preserve">Ezek az </w:t>
      </w:r>
      <w:r w:rsidRPr="00305DCE">
        <w:rPr>
          <w:rFonts w:cs="Arial"/>
          <w:szCs w:val="18"/>
          <w:shd w:val="clear" w:color="auto" w:fill="FFFFFF"/>
        </w:rPr>
        <w:t>adományo</w:t>
      </w:r>
      <w:r>
        <w:rPr>
          <w:rFonts w:cs="Arial"/>
          <w:szCs w:val="18"/>
          <w:shd w:val="clear" w:color="auto" w:fill="FFFFFF"/>
        </w:rPr>
        <w:t>k</w:t>
      </w:r>
      <w:r w:rsidRPr="00305DCE">
        <w:rPr>
          <w:rFonts w:cs="Arial"/>
          <w:szCs w:val="18"/>
          <w:shd w:val="clear" w:color="auto" w:fill="FFFFFF"/>
        </w:rPr>
        <w:t xml:space="preserve"> 5%-kal csökkent</w:t>
      </w:r>
      <w:r>
        <w:rPr>
          <w:rFonts w:cs="Arial"/>
          <w:szCs w:val="18"/>
          <w:shd w:val="clear" w:color="auto" w:fill="FFFFFF"/>
        </w:rPr>
        <w:t>ek</w:t>
      </w:r>
      <w:r w:rsidRPr="00305DCE">
        <w:rPr>
          <w:rFonts w:cs="Arial"/>
          <w:szCs w:val="18"/>
          <w:shd w:val="clear" w:color="auto" w:fill="FFFFFF"/>
        </w:rPr>
        <w:t xml:space="preserve"> 2013-hoz képest, 2014-ben ugyanis kevesebb, mint 9%-kal járult hozzá az elkülönített alaphoz. 2014-ben az UNICEF 1.579 milliárd dollárt gyűjtött humanitárius segítségnyújtásra, mely 19%-kal magasabb, mint 2013-ban. Ez elsősorban az Ebola-járványra reagál, továbbá a Közép-afrikai Köztársaság, Irak, Fülöp-szigetek, Dél-Szudán illetve a Szíriai Arab Köztársaság és a szomszédos országok humanitárius katasztrófáira érkezett adományokkal magyarázható. A humanitárius szükségletek 2014-ben drámaian megemelkedtek, a programok februárban 2</w:t>
      </w:r>
      <w:r>
        <w:rPr>
          <w:rFonts w:cs="Arial"/>
          <w:szCs w:val="18"/>
          <w:shd w:val="clear" w:color="auto" w:fill="FFFFFF"/>
        </w:rPr>
        <w:t>,</w:t>
      </w:r>
      <w:r w:rsidRPr="00305DCE">
        <w:rPr>
          <w:rFonts w:cs="Arial"/>
          <w:szCs w:val="18"/>
          <w:shd w:val="clear" w:color="auto" w:fill="FFFFFF"/>
        </w:rPr>
        <w:t>2 milliárd dollárra tervezett költségei az év végére 3</w:t>
      </w:r>
      <w:r>
        <w:rPr>
          <w:rFonts w:cs="Arial"/>
          <w:szCs w:val="18"/>
          <w:shd w:val="clear" w:color="auto" w:fill="FFFFFF"/>
        </w:rPr>
        <w:t>,</w:t>
      </w:r>
      <w:r w:rsidRPr="00305DCE">
        <w:rPr>
          <w:rFonts w:cs="Arial"/>
          <w:szCs w:val="18"/>
          <w:shd w:val="clear" w:color="auto" w:fill="FFFFFF"/>
        </w:rPr>
        <w:t xml:space="preserve">1 milliárdra nőttek. Az UNICEF 2014-ben nagy lépéseket tett azért, hogy átláthatóbbá és elszámoltathatóbbá tegye működését, így megerősítettük a pénzszállítások körüli ellenőrzést és biztosítási rendszert. A 2014-es Nemzetközi </w:t>
      </w:r>
      <w:r>
        <w:rPr>
          <w:rFonts w:cs="Arial"/>
          <w:szCs w:val="18"/>
          <w:shd w:val="clear" w:color="auto" w:fill="FFFFFF"/>
        </w:rPr>
        <w:t>Segély-á</w:t>
      </w:r>
      <w:r w:rsidRPr="00305DCE">
        <w:rPr>
          <w:rFonts w:cs="Arial"/>
          <w:szCs w:val="18"/>
          <w:shd w:val="clear" w:color="auto" w:fill="FFFFFF"/>
        </w:rPr>
        <w:t xml:space="preserve">tláthatósági Indexen a 68 szervezetet tartalmazó lista 14. helyét foglaljuk el, „jó” minősítéssel. </w:t>
      </w:r>
    </w:p>
    <w:p w14:paraId="6E44262A" w14:textId="77777777" w:rsidR="009A4814" w:rsidRDefault="009A4814" w:rsidP="009A4814">
      <w:pPr>
        <w:jc w:val="both"/>
        <w:rPr>
          <w:rFonts w:cs="Arial"/>
          <w:szCs w:val="18"/>
          <w:shd w:val="clear" w:color="auto" w:fill="FFFFFF"/>
        </w:rPr>
      </w:pPr>
      <w:r w:rsidRPr="00305DCE">
        <w:rPr>
          <w:rFonts w:cs="Arial"/>
          <w:szCs w:val="18"/>
          <w:shd w:val="clear" w:color="auto" w:fill="FFFFFF"/>
        </w:rPr>
        <w:t xml:space="preserve">Az UNICEF köszönettel tartozik minden partnerének, akik 2014-ben támogatták </w:t>
      </w:r>
      <w:r>
        <w:rPr>
          <w:rFonts w:cs="Arial"/>
          <w:szCs w:val="18"/>
          <w:shd w:val="clear" w:color="auto" w:fill="FFFFFF"/>
        </w:rPr>
        <w:t>a szervezetet.</w:t>
      </w:r>
      <w:r w:rsidRPr="00305DCE">
        <w:rPr>
          <w:rFonts w:cs="Arial"/>
          <w:szCs w:val="18"/>
          <w:shd w:val="clear" w:color="auto" w:fill="FFFFFF"/>
        </w:rPr>
        <w:t xml:space="preserve"> Az Önök hozzájárulása mérhető különbséget hozott a legnagyobb szükséget szenvedő gyermekek életébe, szerte a világon.</w:t>
      </w:r>
    </w:p>
    <w:p w14:paraId="0181882C" w14:textId="77777777" w:rsidR="009A4814" w:rsidRPr="00305DCE" w:rsidRDefault="009A4814" w:rsidP="009A4814">
      <w:pPr>
        <w:jc w:val="both"/>
        <w:rPr>
          <w:rFonts w:cs="Arial"/>
          <w:szCs w:val="18"/>
          <w:shd w:val="clear" w:color="auto" w:fill="FFFFFF"/>
        </w:rPr>
      </w:pPr>
    </w:p>
    <w:p w14:paraId="6151A1ED" w14:textId="77777777" w:rsidR="009A4814" w:rsidRDefault="009A4814" w:rsidP="009A4814">
      <w:pPr>
        <w:jc w:val="both"/>
      </w:pPr>
    </w:p>
    <w:p w14:paraId="13BDE5CE" w14:textId="77777777" w:rsidR="009A4814" w:rsidRDefault="009A4814" w:rsidP="009A4814">
      <w:pPr>
        <w:jc w:val="both"/>
      </w:pPr>
    </w:p>
    <w:p w14:paraId="47790A2D" w14:textId="77777777" w:rsidR="009A4814" w:rsidRPr="00305DCE" w:rsidRDefault="009A4814" w:rsidP="009A4814">
      <w:pPr>
        <w:jc w:val="both"/>
      </w:pPr>
      <w:r w:rsidRPr="00305DCE">
        <w:t xml:space="preserve">Világszerte a </w:t>
      </w:r>
      <w:r w:rsidRPr="00F51070">
        <w:rPr>
          <w:b/>
        </w:rPr>
        <w:t>rendszeres adományok</w:t>
      </w:r>
      <w:r w:rsidRPr="00305DCE">
        <w:t xml:space="preserve"> </w:t>
      </w:r>
      <w:r>
        <w:t>(</w:t>
      </w:r>
      <w:r w:rsidRPr="00F11EEA">
        <w:rPr>
          <w:i/>
        </w:rPr>
        <w:t>regular resources</w:t>
      </w:r>
      <w:r>
        <w:t xml:space="preserve">) </w:t>
      </w:r>
      <w:r w:rsidRPr="00305DCE">
        <w:t>képezi</w:t>
      </w:r>
      <w:r>
        <w:t>k az UNICEF p</w:t>
      </w:r>
      <w:r w:rsidRPr="00305DCE">
        <w:t>r</w:t>
      </w:r>
      <w:r>
        <w:t>o</w:t>
      </w:r>
      <w:r w:rsidRPr="00305DCE">
        <w:t>gramjainak alapját. Mivel nem elkülönített célra érkeznek, lehetővé teszik, hogy gyorsan válaszoljunk a legsürgősebb kihívásokra, s innov</w:t>
      </w:r>
      <w:r>
        <w:t>atí</w:t>
      </w:r>
      <w:r w:rsidRPr="00305DCE">
        <w:t>v programokba és megközelítésekbe fektessünk. Kerülhet például a Sürgősségi Alapunkba, mely azonnali ellátást és személyzetet küld oda, ahol szükséges, még mielőtt az e célra érkező egyszeri adományok megjönnének. 2014-ban a Sürgősségi Alapunkon keresztül a rendszeres adományok jelentettek ugródeszkát az Ebola-járvány kezelésére Nyugat-Afrikában, a gyerekek gyors védelmére Ukrajnában, segítségszervező mechanizmusokra a Közép-afrikai Köztársaságban és Dél-Szudánban,</w:t>
      </w:r>
      <w:r>
        <w:t xml:space="preserve"> s</w:t>
      </w:r>
      <w:r w:rsidRPr="00305DCE">
        <w:t xml:space="preserve"> az oktatás és védelem szervezésére a Gázai övezet és Palesztina gyermekeinek. A rendszeres a</w:t>
      </w:r>
      <w:r>
        <w:t xml:space="preserve">dományok alátámasztják </w:t>
      </w:r>
      <w:r w:rsidRPr="00305DCE">
        <w:t xml:space="preserve">az egészségügyi ellátás méltányos körülményeinek megteremtésére </w:t>
      </w:r>
      <w:r>
        <w:t xml:space="preserve">irányuló szándékunkat </w:t>
      </w:r>
      <w:r w:rsidRPr="00305DCE">
        <w:t xml:space="preserve">azokban az országokban, ahol </w:t>
      </w:r>
      <w:r>
        <w:t>nagyszámú</w:t>
      </w:r>
      <w:r w:rsidRPr="00305DCE">
        <w:t xml:space="preserve"> gyerek él, s a szegénységi ráta és a gyermekhalandóság magas. Például Bangladesben az UNICEF a rendszeres adományokat használta fel, hogy a kormánnyal együttműködve óvodai ellátást</w:t>
      </w:r>
      <w:r>
        <w:t xml:space="preserve"> biztosítson a mély</w:t>
      </w:r>
      <w:r w:rsidRPr="00305DCE">
        <w:t>szegénységben élő, nehezen elérhető gyermekek számára. És ez csak néhány példa, mely azt tükrözi, mennyire értékes az Ön rendszeres adománya a világ gyermekei számára.</w:t>
      </w:r>
    </w:p>
    <w:p w14:paraId="09883000" w14:textId="77777777" w:rsidR="009A4814" w:rsidRDefault="009A4814" w:rsidP="009A4814"/>
    <w:p w14:paraId="2BE2602B" w14:textId="77777777" w:rsidR="009A4814" w:rsidRDefault="009A4814"/>
    <w:sectPr w:rsidR="009A4814" w:rsidSect="00A74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70B32" w14:textId="77777777" w:rsidR="00A74405" w:rsidRDefault="00A74405" w:rsidP="00A74405">
      <w:r>
        <w:separator/>
      </w:r>
    </w:p>
  </w:endnote>
  <w:endnote w:type="continuationSeparator" w:id="0">
    <w:p w14:paraId="6BC0F13D" w14:textId="77777777" w:rsidR="00A74405" w:rsidRDefault="00A74405" w:rsidP="00A7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EA152" w14:textId="77777777" w:rsidR="00592F4C" w:rsidRDefault="00592F4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4D8F1" w14:textId="41853A6A" w:rsidR="00A74405" w:rsidRDefault="00A74405" w:rsidP="00A74405">
    <w:pPr>
      <w:pStyle w:val="llb"/>
      <w:ind w:left="-1800" w:right="-176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96B5A" w14:textId="77777777" w:rsidR="00592F4C" w:rsidRDefault="00592F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FFCF3" w14:textId="77777777" w:rsidR="00A74405" w:rsidRDefault="00A74405" w:rsidP="00A74405">
      <w:r>
        <w:separator/>
      </w:r>
    </w:p>
  </w:footnote>
  <w:footnote w:type="continuationSeparator" w:id="0">
    <w:p w14:paraId="7EDF2830" w14:textId="77777777" w:rsidR="00A74405" w:rsidRDefault="00A74405" w:rsidP="00A7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10518" w14:textId="77777777" w:rsidR="00A74405" w:rsidRDefault="00723AC2">
    <w:pPr>
      <w:pStyle w:val="lfej"/>
    </w:pPr>
    <w:sdt>
      <w:sdtPr>
        <w:id w:val="171999623"/>
        <w:placeholder>
          <w:docPart w:val="6AC84F31E84D2E4F96544DE70A513002"/>
        </w:placeholder>
        <w:temporary/>
        <w:showingPlcHdr/>
      </w:sdtPr>
      <w:sdtEndPr/>
      <w:sdtContent>
        <w:r w:rsidR="00A74405">
          <w:t>[Type text]</w:t>
        </w:r>
      </w:sdtContent>
    </w:sdt>
    <w:r w:rsidR="00A74405">
      <w:ptab w:relativeTo="margin" w:alignment="center" w:leader="none"/>
    </w:r>
    <w:sdt>
      <w:sdtPr>
        <w:id w:val="171999624"/>
        <w:placeholder>
          <w:docPart w:val="1F2D7068ECA6534ABE1F5A73D28B439B"/>
        </w:placeholder>
        <w:temporary/>
        <w:showingPlcHdr/>
      </w:sdtPr>
      <w:sdtEndPr/>
      <w:sdtContent>
        <w:r w:rsidR="00A74405">
          <w:t>[Type text]</w:t>
        </w:r>
      </w:sdtContent>
    </w:sdt>
    <w:r w:rsidR="00A74405">
      <w:ptab w:relativeTo="margin" w:alignment="right" w:leader="none"/>
    </w:r>
    <w:sdt>
      <w:sdtPr>
        <w:id w:val="171999625"/>
        <w:placeholder>
          <w:docPart w:val="CD1AB7C535C4B94FB44F66CC5D5643D9"/>
        </w:placeholder>
        <w:temporary/>
        <w:showingPlcHdr/>
      </w:sdtPr>
      <w:sdtEndPr/>
      <w:sdtContent>
        <w:r w:rsidR="00A74405">
          <w:t>[Type text]</w:t>
        </w:r>
      </w:sdtContent>
    </w:sdt>
  </w:p>
  <w:p w14:paraId="7D5D1506" w14:textId="77777777" w:rsidR="00A74405" w:rsidRDefault="00A7440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14D20" w14:textId="77777777" w:rsidR="00A74405" w:rsidRDefault="00A74405" w:rsidP="00A74405">
    <w:pPr>
      <w:pStyle w:val="lfej"/>
      <w:ind w:left="-1800"/>
    </w:pPr>
    <w:r>
      <w:rPr>
        <w:noProof/>
        <w:lang w:val="hu-HU" w:eastAsia="hu-HU"/>
      </w:rPr>
      <w:drawing>
        <wp:inline distT="0" distB="0" distL="0" distR="0" wp14:anchorId="140BDD18" wp14:editId="262DA036">
          <wp:extent cx="7598892" cy="1029527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20131010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892" cy="1029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70F0F" w14:textId="77777777" w:rsidR="00592F4C" w:rsidRDefault="00592F4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05"/>
    <w:rsid w:val="00190607"/>
    <w:rsid w:val="002B11E2"/>
    <w:rsid w:val="00592F4C"/>
    <w:rsid w:val="006A1EDD"/>
    <w:rsid w:val="00723AC2"/>
    <w:rsid w:val="00940699"/>
    <w:rsid w:val="009A4814"/>
    <w:rsid w:val="00A74405"/>
    <w:rsid w:val="00E57700"/>
    <w:rsid w:val="00EA005A"/>
    <w:rsid w:val="00F6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02DE5C2"/>
  <w14:defaultImageDpi w14:val="300"/>
  <w15:docId w15:val="{9B88F38F-AD91-4233-AE0C-E4CCA4EA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cs-CZ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4405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A74405"/>
    <w:rPr>
      <w:sz w:val="24"/>
      <w:szCs w:val="24"/>
      <w:lang w:val="cs-CZ" w:eastAsia="en-US"/>
    </w:rPr>
  </w:style>
  <w:style w:type="paragraph" w:styleId="llb">
    <w:name w:val="footer"/>
    <w:basedOn w:val="Norml"/>
    <w:link w:val="llbChar"/>
    <w:uiPriority w:val="99"/>
    <w:unhideWhenUsed/>
    <w:rsid w:val="00A74405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A74405"/>
    <w:rPr>
      <w:sz w:val="24"/>
      <w:szCs w:val="24"/>
      <w:lang w:val="cs-CZ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4405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4405"/>
    <w:rPr>
      <w:rFonts w:ascii="Lucida Grande" w:hAnsi="Lucida Grande" w:cs="Lucida Grande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C84F31E84D2E4F96544DE70A51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9C3D-3A57-1B4F-A2E8-DCBF392AB212}"/>
      </w:docPartPr>
      <w:docPartBody>
        <w:p w:rsidR="007E1780" w:rsidRDefault="007C6309" w:rsidP="007C6309">
          <w:pPr>
            <w:pStyle w:val="6AC84F31E84D2E4F96544DE70A513002"/>
          </w:pPr>
          <w:r>
            <w:t>[Type text]</w:t>
          </w:r>
        </w:p>
      </w:docPartBody>
    </w:docPart>
    <w:docPart>
      <w:docPartPr>
        <w:name w:val="1F2D7068ECA6534ABE1F5A73D28B4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6CACD-6868-C342-8B69-886CC1CF8B10}"/>
      </w:docPartPr>
      <w:docPartBody>
        <w:p w:rsidR="007E1780" w:rsidRDefault="007C6309" w:rsidP="007C6309">
          <w:pPr>
            <w:pStyle w:val="1F2D7068ECA6534ABE1F5A73D28B439B"/>
          </w:pPr>
          <w:r>
            <w:t>[Type text]</w:t>
          </w:r>
        </w:p>
      </w:docPartBody>
    </w:docPart>
    <w:docPart>
      <w:docPartPr>
        <w:name w:val="CD1AB7C535C4B94FB44F66CC5D56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2E221-8033-1A42-B9E4-828789E24181}"/>
      </w:docPartPr>
      <w:docPartBody>
        <w:p w:rsidR="007E1780" w:rsidRDefault="007C6309" w:rsidP="007C6309">
          <w:pPr>
            <w:pStyle w:val="CD1AB7C535C4B94FB44F66CC5D5643D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09"/>
    <w:rsid w:val="007C6309"/>
    <w:rsid w:val="007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AC84F31E84D2E4F96544DE70A513002">
    <w:name w:val="6AC84F31E84D2E4F96544DE70A513002"/>
    <w:rsid w:val="007C6309"/>
  </w:style>
  <w:style w:type="paragraph" w:customStyle="1" w:styleId="1F2D7068ECA6534ABE1F5A73D28B439B">
    <w:name w:val="1F2D7068ECA6534ABE1F5A73D28B439B"/>
    <w:rsid w:val="007C6309"/>
  </w:style>
  <w:style w:type="paragraph" w:customStyle="1" w:styleId="CD1AB7C535C4B94FB44F66CC5D5643D9">
    <w:name w:val="CD1AB7C535C4B94FB44F66CC5D5643D9"/>
    <w:rsid w:val="007C6309"/>
  </w:style>
  <w:style w:type="paragraph" w:customStyle="1" w:styleId="7D919FF5B0D24243B1717BD50884FA14">
    <w:name w:val="7D919FF5B0D24243B1717BD50884FA14"/>
    <w:rsid w:val="007C6309"/>
  </w:style>
  <w:style w:type="paragraph" w:customStyle="1" w:styleId="101A21AA9CBD15458568933D12771B0F">
    <w:name w:val="101A21AA9CBD15458568933D12771B0F"/>
    <w:rsid w:val="007C6309"/>
  </w:style>
  <w:style w:type="paragraph" w:customStyle="1" w:styleId="1ED4B18395A17E4EBC0B3538B54DBCFF">
    <w:name w:val="1ED4B18395A17E4EBC0B3538B54DBCFF"/>
    <w:rsid w:val="007C6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963B2F-FA62-4FAD-B796-115849AE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Kókai Máté</dc:creator>
  <cp:keywords/>
  <dc:description/>
  <cp:lastModifiedBy>Németh Barbara</cp:lastModifiedBy>
  <cp:revision>2</cp:revision>
  <dcterms:created xsi:type="dcterms:W3CDTF">2015-07-22T16:27:00Z</dcterms:created>
  <dcterms:modified xsi:type="dcterms:W3CDTF">2015-07-22T16:27:00Z</dcterms:modified>
</cp:coreProperties>
</file>